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附件1</w:t>
      </w:r>
    </w:p>
    <w:p>
      <w:pPr>
        <w:spacing w:line="500" w:lineRule="exact"/>
        <w:ind w:firstLine="0" w:firstLineChars="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00" w:lineRule="exact"/>
        <w:ind w:firstLine="199" w:firstLineChars="66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桂林电子科技大学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第三届市场调查与分析大赛</w:t>
      </w:r>
    </w:p>
    <w:p>
      <w:pPr>
        <w:spacing w:line="500" w:lineRule="exact"/>
        <w:ind w:firstLine="199" w:firstLineChars="66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各学院联系人信息表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546"/>
        <w:gridCol w:w="250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0"/>
              <w:jc w:val="both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学院</w:t>
            </w: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竞赛</w:t>
            </w:r>
            <w:r>
              <w:rPr>
                <w:rFonts w:asciiTheme="minorEastAsia" w:hAnsiTheme="minorEastAsia" w:eastAsiaTheme="minorEastAsia"/>
                <w:bCs/>
                <w:sz w:val="32"/>
                <w:szCs w:val="32"/>
              </w:rPr>
              <w:t>联系人</w:t>
            </w: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姓名</w:t>
            </w: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竞赛</w:t>
            </w:r>
            <w:r>
              <w:rPr>
                <w:rFonts w:asciiTheme="minorEastAsia" w:hAnsiTheme="minorEastAsia" w:eastAsiaTheme="minorEastAsia"/>
                <w:bCs/>
                <w:sz w:val="32"/>
                <w:szCs w:val="32"/>
              </w:rPr>
              <w:t>联系人电话</w:t>
            </w: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ind w:firstLine="643"/>
              <w:jc w:val="center"/>
              <w:rPr>
                <w:rFonts w:cs="仿宋_GB2312"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3"/>
        <w:rPr>
          <w:rFonts w:cs="仿宋_GB2312" w:asciiTheme="minorEastAsia" w:hAnsiTheme="minorEastAsia" w:eastAsiaTheme="minorEastAsia"/>
          <w:b/>
          <w:sz w:val="32"/>
          <w:szCs w:val="32"/>
        </w:rPr>
      </w:pPr>
    </w:p>
    <w:p>
      <w:pPr>
        <w:widowControl/>
        <w:ind w:firstLine="0" w:firstLineChars="0"/>
        <w:jc w:val="left"/>
        <w:rPr>
          <w:rFonts w:cs="仿宋_GB2312" w:asciiTheme="minorEastAsia" w:hAnsiTheme="minorEastAsia" w:eastAsiaTheme="minorEastAsia"/>
          <w:b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br w:type="page"/>
      </w:r>
    </w:p>
    <w:p>
      <w:pPr>
        <w:spacing w:line="500" w:lineRule="exact"/>
        <w:ind w:firstLine="199" w:firstLineChars="6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附件2</w:t>
      </w:r>
    </w:p>
    <w:p>
      <w:pPr>
        <w:spacing w:line="500" w:lineRule="exact"/>
        <w:ind w:firstLine="199" w:firstLineChars="62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after="290" w:afterLines="100" w:line="586" w:lineRule="exact"/>
        <w:ind w:firstLine="0" w:firstLineChars="0"/>
        <w:jc w:val="center"/>
        <w:rPr>
          <w:rFonts w:cs="ETAFFC+FZXBSK--GBK1-0" w:asciiTheme="minorEastAsia" w:hAnsiTheme="minorEastAsia" w:eastAsiaTheme="minorEastAsia"/>
          <w:b/>
          <w:sz w:val="36"/>
        </w:rPr>
      </w:pPr>
      <w:r>
        <w:rPr>
          <w:rFonts w:cs="ETAFFC+FZXBSK--GBK1-0" w:asciiTheme="minorEastAsia" w:hAnsiTheme="minorEastAsia" w:eastAsiaTheme="minorEastAsia"/>
          <w:b/>
          <w:spacing w:val="-1"/>
          <w:sz w:val="36"/>
        </w:rPr>
        <w:t>桂林电子科技大学</w:t>
      </w:r>
      <w:r>
        <w:rPr>
          <w:rFonts w:hint="eastAsia" w:cs="ETAFFC+FZXBSK--GBK1-0" w:asciiTheme="minorEastAsia" w:hAnsiTheme="minorEastAsia" w:eastAsiaTheme="minorEastAsia"/>
          <w:b/>
          <w:sz w:val="36"/>
        </w:rPr>
        <w:t>第三届市场调查与分析大赛</w:t>
      </w:r>
    </w:p>
    <w:p>
      <w:pPr>
        <w:autoSpaceDE w:val="0"/>
        <w:autoSpaceDN w:val="0"/>
        <w:adjustRightInd w:val="0"/>
        <w:snapToGrid w:val="0"/>
        <w:spacing w:after="290" w:afterLines="100" w:line="586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cs="ETAFFC+FZXBSK--GBK1-0" w:asciiTheme="minorEastAsia" w:hAnsiTheme="minorEastAsia" w:eastAsiaTheme="minorEastAsia"/>
          <w:b/>
          <w:sz w:val="36"/>
        </w:rPr>
        <w:t>最佳组织单位奖评选办法</w:t>
      </w:r>
    </w:p>
    <w:p>
      <w:pPr>
        <w:ind w:firstLine="64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asciiTheme="minorEastAsia" w:hAnsiTheme="minorEastAsia" w:eastAsiaTheme="minorEastAsia"/>
          <w:bCs/>
          <w:sz w:val="32"/>
          <w:szCs w:val="32"/>
        </w:rPr>
        <w:t>结合我校实际情况，鼓励我校各学院积极组织参加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大</w:t>
      </w:r>
      <w:r>
        <w:rPr>
          <w:rFonts w:asciiTheme="minorEastAsia" w:hAnsiTheme="minorEastAsia" w:eastAsiaTheme="minorEastAsia"/>
          <w:bCs/>
          <w:sz w:val="32"/>
          <w:szCs w:val="32"/>
        </w:rPr>
        <w:t>赛，特制定本办法。</w:t>
      </w: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一、评选范围</w:t>
      </w:r>
    </w:p>
    <w:p>
      <w:pPr>
        <w:ind w:firstLine="64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Cs/>
          <w:sz w:val="32"/>
          <w:szCs w:val="32"/>
        </w:rPr>
        <w:t>参加此次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大</w:t>
      </w:r>
      <w:r>
        <w:rPr>
          <w:rFonts w:asciiTheme="minorEastAsia" w:hAnsiTheme="minorEastAsia" w:eastAsiaTheme="minorEastAsia"/>
          <w:bCs/>
          <w:sz w:val="32"/>
          <w:szCs w:val="32"/>
        </w:rPr>
        <w:t>赛的学院，数学与计算科学学院不参评</w:t>
      </w:r>
      <w:r>
        <w:rPr>
          <w:rFonts w:asciiTheme="minorEastAsia" w:hAnsiTheme="minorEastAsia" w:eastAsiaTheme="minorEastAsia"/>
          <w:b/>
          <w:sz w:val="32"/>
          <w:szCs w:val="32"/>
        </w:rPr>
        <w:t>。</w:t>
      </w: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二、评选条件</w:t>
      </w:r>
    </w:p>
    <w:p>
      <w:pPr>
        <w:ind w:firstLine="64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asciiTheme="minorEastAsia" w:hAnsiTheme="minorEastAsia" w:eastAsiaTheme="minorEastAsia"/>
          <w:bCs/>
          <w:sz w:val="32"/>
          <w:szCs w:val="32"/>
        </w:rPr>
        <w:t>1.学院组织工作到位，有专人负责，积极配合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大</w:t>
      </w:r>
      <w:r>
        <w:rPr>
          <w:rFonts w:asciiTheme="minorEastAsia" w:hAnsiTheme="minorEastAsia" w:eastAsiaTheme="minorEastAsia"/>
          <w:bCs/>
          <w:sz w:val="32"/>
          <w:szCs w:val="32"/>
        </w:rPr>
        <w:t>赛组委会开展工作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。</w:t>
      </w:r>
    </w:p>
    <w:p>
      <w:pPr>
        <w:ind w:firstLine="64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asciiTheme="minorEastAsia" w:hAnsiTheme="minorEastAsia" w:eastAsiaTheme="minorEastAsia"/>
          <w:bCs/>
          <w:sz w:val="32"/>
          <w:szCs w:val="32"/>
        </w:rPr>
        <w:t>2.所在学院成功参赛学生人数多，执行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大</w:t>
      </w:r>
      <w:r>
        <w:rPr>
          <w:rFonts w:asciiTheme="minorEastAsia" w:hAnsiTheme="minorEastAsia" w:eastAsiaTheme="minorEastAsia"/>
          <w:bCs/>
          <w:sz w:val="32"/>
          <w:szCs w:val="32"/>
        </w:rPr>
        <w:t>赛章程好，无违规现象，获奖率高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。</w:t>
      </w: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三、评选指标及计算公式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指标点</w:t>
            </w:r>
          </w:p>
        </w:tc>
        <w:tc>
          <w:tcPr>
            <w:tcW w:w="6798" w:type="dxa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ind w:firstLine="170" w:firstLineChars="71"/>
              <w:jc w:val="center"/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组织报名X</w:t>
            </w:r>
            <w:r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798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宋体" w:eastAsiaTheme="minorEastAsia"/>
                    <w:spacing w:val="1"/>
                    <w:sz w:val="21"/>
                    <w:szCs w:val="21"/>
                  </w:rPr>
                  <m:t>组织报名分</m:t>
                </m:r>
                <m:r>
                  <m:rPr>
                    <m:sty m:val="p"/>
                  </m:rPr>
                  <w:rPr>
                    <w:rFonts w:hint="eastAsia" w:ascii="Cambria Math" w:hAnsi="Cambria Math" w:cs="宋体" w:eastAsiaTheme="minorEastAsia"/>
                    <w:spacing w:val="1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  <m:t>学院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组织报名学生数</m:t>
                    </m:r>
                    <m:ctrlPr>
                      <w:rPr>
                        <w:rFonts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  <m:t>学院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  <m:t>学生总人数（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  <m:t>除大四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  <m:t>，以教务系统为准）</m:t>
                    </m:r>
                    <m:ctrlPr>
                      <w:rPr>
                        <w:rFonts w:ascii="Cambria Math" w:hAnsi="Cambria Math" w:cs="宋体" w:eastAsiaTheme="minorEastAsia"/>
                        <w:spacing w:val="1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ascii="Cambria Math" w:hAnsi="Cambria Math" w:cs="宋体" w:eastAsiaTheme="minorEastAsia"/>
                    <w:spacing w:val="1"/>
                    <w:sz w:val="21"/>
                    <w:szCs w:val="21"/>
                  </w:rPr>
                  <m:t>30%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大赛报告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提交X</w:t>
            </w:r>
            <w:r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98" w:type="dxa"/>
          </w:tcPr>
          <w:p>
            <w:pPr>
              <w:ind w:firstLine="420"/>
              <w:rPr>
                <w:rFonts w:asciiTheme="minorEastAsia" w:hAnsiTheme="minorEastAsia" w:eastAsiaTheme="minorEastAsia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sz w:val="21"/>
                    <w:szCs w:val="21"/>
                  </w:rPr>
                  <m:t>竞赛论文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1"/>
                    <w:szCs w:val="21"/>
                  </w:rPr>
                  <m:t>提交分=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学院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z w:val="21"/>
                        <w:szCs w:val="21"/>
                      </w:rPr>
                      <m:t>大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赛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z w:val="21"/>
                        <w:szCs w:val="21"/>
                      </w:rPr>
                      <m:t>报告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提交学生数</m:t>
                    </m: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学院组织报名学生数</m:t>
                    </m: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ascii="Cambria Math" w:hAnsi="Cambria Math" w:eastAsiaTheme="minorEastAsia"/>
                    <w:sz w:val="21"/>
                    <w:szCs w:val="21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1"/>
                    <w:szCs w:val="21"/>
                  </w:rPr>
                  <m:t>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ind w:firstLine="170" w:firstLineChars="71"/>
              <w:jc w:val="center"/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获奖X</w:t>
            </w:r>
            <w:r>
              <w:rPr>
                <w:rFonts w:asciiTheme="minorEastAsia" w:hAnsiTheme="minorEastAsia" w:eastAsiaTheme="minorEastAsia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98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sz w:val="21"/>
                    <w:szCs w:val="21"/>
                  </w:rPr>
                  <m:t>竞赛获奖分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学院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宋体" w:eastAsiaTheme="minorEastAsia"/>
                        <w:sz w:val="21"/>
                        <w:szCs w:val="21"/>
                      </w:rPr>
                      <m:t>大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赛获奖学生数</m:t>
                    </m: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宋体" w:eastAsiaTheme="minorEastAsia"/>
                        <w:sz w:val="21"/>
                        <w:szCs w:val="21"/>
                      </w:rPr>
                      <m:t>学院组织报名学生数</m:t>
                    </m:r>
                    <m:ctrlPr>
                      <w:rPr>
                        <w:rFonts w:ascii="Cambria Math" w:hAnsi="Cambria Math" w:eastAsiaTheme="minorEastAsia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ascii="Cambria Math" w:hAnsi="Cambria Math" w:eastAsiaTheme="minorEastAsia"/>
                    <w:sz w:val="21"/>
                    <w:szCs w:val="21"/>
                  </w:rPr>
                  <m:t>40%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ind w:firstLine="170" w:firstLineChars="71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总分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X</w:t>
            </w:r>
          </w:p>
        </w:tc>
        <w:tc>
          <w:tcPr>
            <w:tcW w:w="6798" w:type="dxa"/>
            <w:vAlign w:val="center"/>
          </w:tcPr>
          <w:p>
            <w:pPr>
              <w:autoSpaceDE w:val="0"/>
              <w:autoSpaceDN w:val="0"/>
              <w:spacing w:line="300" w:lineRule="exact"/>
              <w:ind w:firstLine="692"/>
              <w:jc w:val="center"/>
              <w:rPr>
                <w:rFonts w:asciiTheme="minorEastAsia" w:hAnsiTheme="minorEastAsia" w:eastAsiaTheme="minorEastAsia"/>
                <w:sz w:val="30"/>
                <w:vertAlign w:val="subscript"/>
              </w:rPr>
            </w:pPr>
            <w:r>
              <w:rPr>
                <w:rFonts w:asciiTheme="minorEastAsia" w:hAnsiTheme="minorEastAsia" w:eastAsiaTheme="minorEastAsia"/>
                <w:spacing w:val="23"/>
                <w:sz w:val="30"/>
              </w:rPr>
              <w:t>X=X</w:t>
            </w:r>
            <w:r>
              <w:rPr>
                <w:rFonts w:asciiTheme="minorEastAsia" w:hAnsiTheme="minorEastAsia" w:eastAsiaTheme="minorEastAsia"/>
                <w:spacing w:val="23"/>
                <w:sz w:val="30"/>
                <w:vertAlign w:val="subscript"/>
              </w:rPr>
              <w:t>1</w:t>
            </w:r>
            <w:r>
              <w:rPr>
                <w:rFonts w:asciiTheme="minorEastAsia" w:hAnsiTheme="minorEastAsia" w:eastAsiaTheme="minorEastAsia"/>
                <w:spacing w:val="23"/>
                <w:sz w:val="30"/>
              </w:rPr>
              <w:t>+X</w:t>
            </w:r>
            <w:r>
              <w:rPr>
                <w:rFonts w:asciiTheme="minorEastAsia" w:hAnsiTheme="minorEastAsia" w:eastAsiaTheme="minorEastAsia"/>
                <w:spacing w:val="23"/>
                <w:sz w:val="30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pacing w:val="23"/>
                <w:sz w:val="30"/>
              </w:rPr>
              <w:t>+X</w:t>
            </w:r>
            <w:r>
              <w:rPr>
                <w:rFonts w:asciiTheme="minorEastAsia" w:hAnsiTheme="minorEastAsia" w:eastAsiaTheme="minorEastAsia"/>
                <w:spacing w:val="23"/>
                <w:sz w:val="30"/>
                <w:vertAlign w:val="subscript"/>
              </w:rPr>
              <w:t>3</w:t>
            </w:r>
          </w:p>
        </w:tc>
      </w:tr>
    </w:tbl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四、评选办法</w:t>
      </w:r>
    </w:p>
    <w:p>
      <w:pPr>
        <w:ind w:firstLine="64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asciiTheme="minorEastAsia" w:hAnsiTheme="minorEastAsia" w:eastAsiaTheme="minorEastAsia"/>
          <w:bCs/>
          <w:sz w:val="32"/>
          <w:szCs w:val="32"/>
        </w:rPr>
        <w:t xml:space="preserve">凡符合评选条件的学院均可参加评选最佳组织单位奖，按各学院总分高低评选 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1</w:t>
      </w:r>
      <w:r>
        <w:rPr>
          <w:rFonts w:asciiTheme="minorEastAsia" w:hAnsiTheme="minorEastAsia" w:eastAsiaTheme="minorEastAsia"/>
          <w:bCs/>
          <w:sz w:val="32"/>
          <w:szCs w:val="32"/>
        </w:rPr>
        <w:t xml:space="preserve"> 个最佳组织单位奖。</w:t>
      </w:r>
    </w:p>
    <w:p>
      <w:pPr>
        <w:ind w:firstLine="643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五、未尽事宜由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大</w:t>
      </w:r>
      <w:r>
        <w:rPr>
          <w:rFonts w:asciiTheme="minorEastAsia" w:hAnsiTheme="minorEastAsia" w:eastAsiaTheme="minorEastAsia"/>
          <w:b/>
          <w:sz w:val="32"/>
          <w:szCs w:val="32"/>
        </w:rPr>
        <w:t>赛组委会讨论决定。</w:t>
      </w:r>
    </w:p>
    <w:p>
      <w:pPr>
        <w:ind w:firstLine="2380" w:firstLineChars="850"/>
        <w:rPr>
          <w:rFonts w:cs="AHVJSQ+FZFSK--GBK1-0" w:asciiTheme="minorEastAsia" w:hAnsiTheme="minorEastAsia" w:eastAsiaTheme="minorEastAsia"/>
        </w:rPr>
      </w:pPr>
    </w:p>
    <w:p>
      <w:pPr>
        <w:ind w:firstLine="2380" w:firstLineChars="850"/>
        <w:rPr>
          <w:rFonts w:cs="AHVJSQ+FZFSK--GBK1-0" w:asciiTheme="minorEastAsia" w:hAnsiTheme="minorEastAsia" w:eastAsiaTheme="minorEastAsia"/>
        </w:rPr>
      </w:pPr>
    </w:p>
    <w:p>
      <w:pPr>
        <w:ind w:firstLine="2380" w:firstLineChars="850"/>
        <w:rPr>
          <w:rFonts w:cs="AHVJSQ+FZFSK--GBK1-0" w:asciiTheme="minorEastAsia" w:hAnsiTheme="minorEastAsia" w:eastAsiaTheme="minorEastAsia"/>
        </w:rPr>
      </w:pPr>
    </w:p>
    <w:p>
      <w:pPr>
        <w:ind w:firstLine="2380" w:firstLineChars="850"/>
        <w:rPr>
          <w:rFonts w:cs="AHVJSQ+FZFSK--GBK1-0" w:asciiTheme="minorEastAsia" w:hAnsiTheme="minorEastAsia" w:eastAsiaTheme="minorEastAsia"/>
        </w:rPr>
      </w:pPr>
    </w:p>
    <w:p>
      <w:pPr>
        <w:ind w:firstLine="2380" w:firstLineChars="850"/>
        <w:rPr>
          <w:rFonts w:cs="AHVJSQ+FZFSK--GBK1-0" w:asciiTheme="minorEastAsia" w:hAnsiTheme="minorEastAsia" w:eastAsiaTheme="minorEastAsia"/>
        </w:rPr>
      </w:pPr>
    </w:p>
    <w:p>
      <w:pPr>
        <w:widowControl/>
        <w:ind w:firstLine="0" w:firstLineChars="0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32"/>
          <w:szCs w:val="32"/>
        </w:rPr>
        <w:br w:type="page"/>
      </w:r>
      <w:r>
        <w:rPr>
          <w:rFonts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>3</w:t>
      </w:r>
    </w:p>
    <w:p>
      <w:pPr>
        <w:autoSpaceDE w:val="0"/>
        <w:autoSpaceDN w:val="0"/>
        <w:adjustRightInd w:val="0"/>
        <w:snapToGrid w:val="0"/>
        <w:spacing w:after="72" w:afterLines="25"/>
        <w:ind w:firstLine="0" w:firstLineChars="0"/>
        <w:jc w:val="center"/>
        <w:rPr>
          <w:rFonts w:ascii="ETAFFC+FZXBSK--GBK1-0" w:hAnsi="ETAFFC+FZXBSK--GBK1-0" w:cs="ETAFFC+FZXBSK--GBK1-0"/>
          <w:b/>
          <w:spacing w:val="-1"/>
          <w:sz w:val="36"/>
        </w:rPr>
      </w:pPr>
      <w:r>
        <w:rPr>
          <w:rFonts w:hint="eastAsia" w:ascii="ETAFFC+FZXBSK--GBK1-0" w:hAnsi="ETAFFC+FZXBSK--GBK1-0" w:cs="ETAFFC+FZXBSK--GBK1-0"/>
          <w:b/>
          <w:spacing w:val="-1"/>
          <w:sz w:val="36"/>
        </w:rPr>
        <w:t>第三届市场调查与分析大赛调查报</w:t>
      </w:r>
    </w:p>
    <w:p>
      <w:pPr>
        <w:autoSpaceDE w:val="0"/>
        <w:autoSpaceDN w:val="0"/>
        <w:adjustRightInd w:val="0"/>
        <w:snapToGrid w:val="0"/>
        <w:spacing w:after="72" w:afterLines="25"/>
        <w:ind w:firstLine="0" w:firstLineChars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ETAFFC+FZXBSK--GBK1-0" w:hAnsi="ETAFFC+FZXBSK--GBK1-0" w:cs="ETAFFC+FZXBSK--GBK1-0"/>
          <w:b/>
          <w:spacing w:val="-1"/>
          <w:sz w:val="36"/>
        </w:rPr>
        <w:t>告及答辩评分</w:t>
      </w:r>
      <w:r>
        <w:rPr>
          <w:rFonts w:ascii="ETAFFC+FZXBSK--GBK1-0" w:hAnsi="ETAFFC+FZXBSK--GBK1-0" w:cs="ETAFFC+FZXBSK--GBK1-0"/>
          <w:b/>
          <w:spacing w:val="-1"/>
          <w:sz w:val="36"/>
        </w:rPr>
        <w:t>表</w:t>
      </w:r>
    </w:p>
    <w:tbl>
      <w:tblPr>
        <w:tblStyle w:val="2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b/>
                <w:bCs/>
                <w:kern w:val="0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0"/>
              </w:rPr>
              <w:t>报告评审打分表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b/>
                <w:bCs/>
                <w:kern w:val="0"/>
              </w:rPr>
            </w:pPr>
            <w:r>
              <w:rPr>
                <w:rFonts w:ascii="Times New Roman" w:hAnsi="Times New Roman" w:eastAsia="微软雅黑"/>
                <w:b/>
                <w:bCs/>
                <w:kern w:val="0"/>
              </w:rPr>
              <w:t>线上实时答辩评审打分表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展示文件水平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语言简炼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</w:tbl>
    <w:p>
      <w:pPr>
        <w:ind w:firstLine="0" w:firstLineChars="0"/>
        <w:jc w:val="center"/>
        <w:rPr>
          <w:rFonts w:ascii="Calibri" w:hAnsi="Calibri"/>
        </w:rPr>
      </w:pPr>
      <w:r>
        <w:rPr>
          <w:rFonts w:ascii="Times New Roman" w:hAnsi="Times New Roman" w:eastAsia="微软雅黑"/>
          <w:b/>
          <w:bCs/>
          <w:kern w:val="0"/>
        </w:rPr>
        <w:t>线</w:t>
      </w:r>
      <w:r>
        <w:rPr>
          <w:rFonts w:hint="eastAsia" w:ascii="Times New Roman" w:hAnsi="Times New Roman" w:eastAsia="微软雅黑"/>
          <w:b/>
          <w:bCs/>
          <w:kern w:val="0"/>
        </w:rPr>
        <w:t>下</w:t>
      </w:r>
      <w:r>
        <w:rPr>
          <w:rFonts w:ascii="Times New Roman" w:hAnsi="Times New Roman" w:eastAsia="微软雅黑"/>
          <w:b/>
          <w:bCs/>
          <w:kern w:val="0"/>
        </w:rPr>
        <w:t>答辩评审打分表</w:t>
      </w:r>
    </w:p>
    <w:tbl>
      <w:tblPr>
        <w:tblStyle w:val="2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1527"/>
        <w:gridCol w:w="3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32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本科组线下展示答辩打分表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 </w:t>
            </w:r>
          </w:p>
        </w:tc>
        <w:tc>
          <w:tcPr>
            <w:tcW w:w="3896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展示文件水平 （15分）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96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逻辑性强 （15分）</w:t>
            </w:r>
          </w:p>
        </w:tc>
        <w:tc>
          <w:tcPr>
            <w:tcW w:w="1527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96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语言简炼 （15分）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口齿清楚 （15分）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回答正确 （15分）</w:t>
            </w:r>
          </w:p>
        </w:tc>
        <w:tc>
          <w:tcPr>
            <w:tcW w:w="1527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3896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思路清晰 （15分）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仪态大方 （10分）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0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 xml:space="preserve">答 辩 分合 计 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3896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TAFFC+FZXBS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HVJSQ+FZFS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46C9"/>
    <w:rsid w:val="2FBD0682"/>
    <w:rsid w:val="376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2022-03-14T01:21:00Z</dcterms:created>
  <dc:creator>大以巴蓝</dc:creator>
  <cp:lastModifiedBy>大以巴蓝</cp:lastModifiedBy>
  <dcterms:modified xsi:type="dcterms:W3CDTF">2022-03-14T01:41:03Z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5DAE5F3DDFA544BBAACD43814A437F74</vt:lpwstr>
  </property>
</Properties>
</file>